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6FB" w14:textId="77777777" w:rsidR="00596EE3" w:rsidRDefault="00596EE3" w:rsidP="00596EE3">
      <w:pPr>
        <w:rPr>
          <w:b/>
          <w:u w:val="single"/>
        </w:rPr>
      </w:pPr>
      <w:r w:rsidRPr="006A68B5">
        <w:rPr>
          <w:b/>
          <w:u w:val="single"/>
        </w:rPr>
        <w:t>Title</w:t>
      </w:r>
    </w:p>
    <w:p w14:paraId="0888EEE0" w14:textId="77777777" w:rsidR="00596EE3" w:rsidRPr="00141027" w:rsidRDefault="00596EE3" w:rsidP="00596EE3">
      <w:pPr>
        <w:rPr>
          <w:bCs/>
        </w:rPr>
      </w:pPr>
      <w:r>
        <w:rPr>
          <w:bCs/>
        </w:rPr>
        <w:t>Burden of infections</w:t>
      </w:r>
      <w:r w:rsidRPr="00141027">
        <w:rPr>
          <w:bCs/>
        </w:rPr>
        <w:t xml:space="preserve"> </w:t>
      </w:r>
      <w:r>
        <w:rPr>
          <w:bCs/>
        </w:rPr>
        <w:t xml:space="preserve">in early life associates with later risk of </w:t>
      </w:r>
      <w:r w:rsidRPr="00141027">
        <w:rPr>
          <w:bCs/>
        </w:rPr>
        <w:t>infection</w:t>
      </w:r>
      <w:r>
        <w:rPr>
          <w:bCs/>
        </w:rPr>
        <w:t>s</w:t>
      </w:r>
      <w:r w:rsidRPr="00141027">
        <w:rPr>
          <w:bCs/>
        </w:rPr>
        <w:t xml:space="preserve"> and systemic antibiotic </w:t>
      </w:r>
      <w:r>
        <w:rPr>
          <w:bCs/>
        </w:rPr>
        <w:t xml:space="preserve">episodes in childhood </w:t>
      </w:r>
    </w:p>
    <w:p w14:paraId="0840CC3D" w14:textId="77777777" w:rsidR="00596EE3" w:rsidRDefault="00596EE3" w:rsidP="00596EE3">
      <w:pPr>
        <w:rPr>
          <w:b/>
          <w:u w:val="single"/>
        </w:rPr>
      </w:pPr>
      <w:r w:rsidRPr="006A68B5">
        <w:rPr>
          <w:b/>
          <w:u w:val="single"/>
        </w:rPr>
        <w:t xml:space="preserve">Authors </w:t>
      </w:r>
    </w:p>
    <w:p w14:paraId="38E7F0DD" w14:textId="77777777" w:rsidR="00596EE3" w:rsidRPr="00D746E8" w:rsidRDefault="00596EE3" w:rsidP="00596EE3">
      <w:pPr>
        <w:rPr>
          <w:bCs/>
          <w:highlight w:val="yellow"/>
          <w:vertAlign w:val="superscript"/>
        </w:rPr>
      </w:pPr>
      <w:r>
        <w:rPr>
          <w:bCs/>
        </w:rPr>
        <w:t>Nicklas Brustad, MD, PhD</w:t>
      </w:r>
      <w:r>
        <w:rPr>
          <w:bCs/>
          <w:vertAlign w:val="superscript"/>
        </w:rPr>
        <w:t>1</w:t>
      </w:r>
      <w:r>
        <w:rPr>
          <w:bCs/>
        </w:rPr>
        <w:t>, Frederik Buchvald, MD, PhD</w:t>
      </w:r>
      <w:r>
        <w:rPr>
          <w:bCs/>
          <w:vertAlign w:val="superscript"/>
        </w:rPr>
        <w:t>2</w:t>
      </w:r>
      <w:r>
        <w:rPr>
          <w:bCs/>
        </w:rPr>
        <w:t>; Signe Kjeldgaard Jensen, MD, PhD</w:t>
      </w:r>
      <w:r>
        <w:rPr>
          <w:bCs/>
          <w:vertAlign w:val="superscript"/>
        </w:rPr>
        <w:t>1</w:t>
      </w:r>
      <w:r>
        <w:rPr>
          <w:bCs/>
        </w:rPr>
        <w:t>; Julie Nyholm Kyvsgaard, MD, PhD</w:t>
      </w:r>
      <w:r>
        <w:rPr>
          <w:bCs/>
          <w:vertAlign w:val="superscript"/>
        </w:rPr>
        <w:t>1</w:t>
      </w:r>
      <w:r>
        <w:rPr>
          <w:bCs/>
        </w:rPr>
        <w:t>; Nilo Vahman, MD, PhD</w:t>
      </w:r>
      <w:r>
        <w:rPr>
          <w:bCs/>
          <w:vertAlign w:val="superscript"/>
        </w:rPr>
        <w:t>1</w:t>
      </w:r>
      <w:r>
        <w:rPr>
          <w:bCs/>
        </w:rPr>
        <w:t>; Jonathan Thorsen, MD, PhD</w:t>
      </w:r>
      <w:r>
        <w:rPr>
          <w:bCs/>
          <w:vertAlign w:val="superscript"/>
        </w:rPr>
        <w:t>1</w:t>
      </w:r>
      <w:r>
        <w:rPr>
          <w:bCs/>
        </w:rPr>
        <w:t>; Ann-Marie Malby Schoos, MD, PhD, DMSc</w:t>
      </w:r>
      <w:r>
        <w:rPr>
          <w:bCs/>
          <w:vertAlign w:val="superscript"/>
        </w:rPr>
        <w:t>1,3,4</w:t>
      </w:r>
      <w:r>
        <w:rPr>
          <w:bCs/>
        </w:rPr>
        <w:t>; Ulrikka Nygaard, MD, PhD</w:t>
      </w:r>
      <w:r>
        <w:rPr>
          <w:bCs/>
          <w:vertAlign w:val="superscript"/>
        </w:rPr>
        <w:t>2,4</w:t>
      </w:r>
      <w:r>
        <w:rPr>
          <w:bCs/>
        </w:rPr>
        <w:t>; Nadja Vissing, MD, PhD</w:t>
      </w:r>
      <w:r>
        <w:rPr>
          <w:bCs/>
          <w:vertAlign w:val="superscript"/>
        </w:rPr>
        <w:t>2</w:t>
      </w:r>
      <w:r>
        <w:rPr>
          <w:bCs/>
        </w:rPr>
        <w:t>; Jakob Stokholm, MD, PhD</w:t>
      </w:r>
      <w:r>
        <w:rPr>
          <w:bCs/>
          <w:vertAlign w:val="superscript"/>
        </w:rPr>
        <w:t>1,3,4</w:t>
      </w:r>
      <w:r>
        <w:rPr>
          <w:bCs/>
        </w:rPr>
        <w:t>; Klaus Bønnelykke MD, PhD</w:t>
      </w:r>
      <w:r>
        <w:rPr>
          <w:bCs/>
          <w:vertAlign w:val="superscript"/>
        </w:rPr>
        <w:t>1,5</w:t>
      </w:r>
      <w:r>
        <w:rPr>
          <w:bCs/>
        </w:rPr>
        <w:t>; Bo Chawes, MD, PhD, DMSc</w:t>
      </w:r>
      <w:r>
        <w:rPr>
          <w:bCs/>
          <w:vertAlign w:val="superscript"/>
        </w:rPr>
        <w:t>1,5</w:t>
      </w:r>
    </w:p>
    <w:p w14:paraId="35102AAC" w14:textId="77777777" w:rsidR="00596EE3" w:rsidRDefault="00596EE3" w:rsidP="00596EE3">
      <w:pPr>
        <w:rPr>
          <w:b/>
        </w:rPr>
      </w:pPr>
      <w:r w:rsidRPr="006A68B5">
        <w:rPr>
          <w:b/>
          <w:u w:val="single"/>
        </w:rPr>
        <w:t>Affiliation</w:t>
      </w:r>
      <w:r w:rsidRPr="006A68B5">
        <w:rPr>
          <w:b/>
        </w:rPr>
        <w:t xml:space="preserve">: </w:t>
      </w:r>
    </w:p>
    <w:p w14:paraId="4841E0E6" w14:textId="77777777" w:rsidR="00596EE3" w:rsidRDefault="00596EE3" w:rsidP="00596EE3">
      <w:pPr>
        <w:pStyle w:val="Listeafsnit"/>
        <w:numPr>
          <w:ilvl w:val="0"/>
          <w:numId w:val="1"/>
        </w:numPr>
      </w:pPr>
      <w:r w:rsidRPr="006A68B5">
        <w:t>COPSAC, Copenhagen Prospective Studies on Asthma in Childhood, Herlev and Gentofte Hospital, University of Copenhagen, Denmark</w:t>
      </w:r>
    </w:p>
    <w:p w14:paraId="225DBE49" w14:textId="77777777" w:rsidR="00596EE3" w:rsidRDefault="00596EE3" w:rsidP="00596EE3">
      <w:pPr>
        <w:pStyle w:val="Listeafsnit"/>
        <w:numPr>
          <w:ilvl w:val="0"/>
          <w:numId w:val="1"/>
        </w:numPr>
      </w:pPr>
      <w:r>
        <w:t>Department of Pediatrics, Rigshospitalet, Denmark</w:t>
      </w:r>
    </w:p>
    <w:p w14:paraId="0159AB20" w14:textId="77777777" w:rsidR="00596EE3" w:rsidRDefault="00596EE3" w:rsidP="00596EE3">
      <w:pPr>
        <w:pStyle w:val="Listeafsnit"/>
        <w:numPr>
          <w:ilvl w:val="0"/>
          <w:numId w:val="1"/>
        </w:numPr>
      </w:pPr>
      <w:r w:rsidRPr="006A68B5">
        <w:t xml:space="preserve">Department of Pediatrics, </w:t>
      </w:r>
      <w:r>
        <w:t>Slagelse</w:t>
      </w:r>
      <w:r w:rsidRPr="006A68B5">
        <w:t xml:space="preserve"> Hospital, Denmark</w:t>
      </w:r>
    </w:p>
    <w:p w14:paraId="68068B5E" w14:textId="77777777" w:rsidR="00596EE3" w:rsidRDefault="00596EE3" w:rsidP="00596EE3">
      <w:pPr>
        <w:pStyle w:val="Listeafsnit"/>
        <w:numPr>
          <w:ilvl w:val="0"/>
          <w:numId w:val="1"/>
        </w:numPr>
      </w:pPr>
      <w:r w:rsidRPr="003108DE">
        <w:rPr>
          <w:lang w:val="en-US"/>
        </w:rPr>
        <w:t>Department of Food Science, University of Copenhagen, Frederiksberg C, Denmark</w:t>
      </w:r>
    </w:p>
    <w:p w14:paraId="5E1D7D73" w14:textId="77777777" w:rsidR="00596EE3" w:rsidRPr="006A68B5" w:rsidRDefault="00596EE3" w:rsidP="00596EE3">
      <w:pPr>
        <w:pStyle w:val="Listeafsnit"/>
        <w:numPr>
          <w:ilvl w:val="0"/>
          <w:numId w:val="1"/>
        </w:numPr>
      </w:pPr>
      <w:r w:rsidRPr="003153A6">
        <w:t>Department of Clinical Medicine, Faculty of Health and Medical Sciences, University of Copenhagen, Copenhagen, Denmark</w:t>
      </w:r>
    </w:p>
    <w:p w14:paraId="2C628416" w14:textId="77777777" w:rsidR="00596EE3" w:rsidRPr="006A68B5" w:rsidRDefault="00596EE3" w:rsidP="00596EE3">
      <w:pPr>
        <w:rPr>
          <w:b/>
        </w:rPr>
      </w:pPr>
      <w:r w:rsidRPr="006A68B5">
        <w:rPr>
          <w:b/>
          <w:u w:val="single"/>
        </w:rPr>
        <w:t>Correspondence</w:t>
      </w:r>
      <w:r w:rsidRPr="006A68B5">
        <w:rPr>
          <w:b/>
        </w:rPr>
        <w:t>:</w:t>
      </w:r>
    </w:p>
    <w:p w14:paraId="5A721BA1" w14:textId="77777777" w:rsidR="00596EE3" w:rsidRDefault="00596EE3" w:rsidP="00596EE3">
      <w:r>
        <w:t>Nicklas Brustad, MD, PhD</w:t>
      </w:r>
    </w:p>
    <w:p w14:paraId="669ACEF2" w14:textId="77777777" w:rsidR="00596EE3" w:rsidRPr="006A68B5" w:rsidRDefault="00596EE3" w:rsidP="00596EE3">
      <w:r>
        <w:t>Ledreborg Allé 34, 2820, Gentofte, Denmark</w:t>
      </w:r>
    </w:p>
    <w:p w14:paraId="5C02037D" w14:textId="77777777" w:rsidR="00596EE3" w:rsidRPr="006A68B5" w:rsidRDefault="00596EE3" w:rsidP="00596EE3">
      <w:r w:rsidRPr="006A68B5">
        <w:t xml:space="preserve">E-mail: </w:t>
      </w:r>
      <w:r w:rsidRPr="00E80312">
        <w:t>nicklas.brustad@dbac.dk</w:t>
      </w:r>
      <w:r>
        <w:t>, telephone: +45 2892 4131</w:t>
      </w:r>
    </w:p>
    <w:p w14:paraId="22F9BCCD" w14:textId="77777777" w:rsidR="00596EE3" w:rsidRPr="006A68B5" w:rsidRDefault="00596EE3" w:rsidP="00596EE3"/>
    <w:p w14:paraId="61CCC775" w14:textId="77777777" w:rsidR="00596EE3" w:rsidRPr="006D077A" w:rsidRDefault="00596EE3" w:rsidP="00596EE3">
      <w:pPr>
        <w:rPr>
          <w:rFonts w:cs="Times New Roman"/>
          <w:bCs/>
          <w:szCs w:val="24"/>
        </w:rPr>
      </w:pPr>
      <w:r>
        <w:rPr>
          <w:b/>
        </w:rPr>
        <w:br w:type="page"/>
      </w:r>
      <w:r>
        <w:rPr>
          <w:b/>
        </w:rPr>
        <w:lastRenderedPageBreak/>
        <w:t>ABSTRACT</w:t>
      </w:r>
      <w:r w:rsidRPr="006A68B5">
        <w:rPr>
          <w:b/>
        </w:rPr>
        <w:t xml:space="preserve"> (</w:t>
      </w:r>
      <w:r>
        <w:rPr>
          <w:b/>
        </w:rPr>
        <w:t xml:space="preserve">340 </w:t>
      </w:r>
      <w:r w:rsidRPr="006A68B5">
        <w:rPr>
          <w:b/>
        </w:rPr>
        <w:t xml:space="preserve">words) </w:t>
      </w:r>
    </w:p>
    <w:p w14:paraId="080CBC2F" w14:textId="77777777" w:rsidR="00596EE3" w:rsidRDefault="00596EE3" w:rsidP="00596EE3">
      <w:r>
        <w:rPr>
          <w:b/>
        </w:rPr>
        <w:t xml:space="preserve">Importance: </w:t>
      </w:r>
      <w:r>
        <w:t xml:space="preserve">A high infection burden in early childhood is common and a risk factor for later disease development. However, longitudinal birth cohort studies investigating early life infection burden and later risk of infections and antibiotic episodes are lacking.  </w:t>
      </w:r>
    </w:p>
    <w:p w14:paraId="6B9C0108" w14:textId="77777777" w:rsidR="00596EE3" w:rsidRPr="006D077A" w:rsidRDefault="00596EE3" w:rsidP="00596EE3">
      <w:pPr>
        <w:rPr>
          <w:bCs/>
        </w:rPr>
      </w:pPr>
      <w:r>
        <w:rPr>
          <w:b/>
        </w:rPr>
        <w:t>Objective:</w:t>
      </w:r>
      <w:r>
        <w:rPr>
          <w:bCs/>
        </w:rPr>
        <w:t xml:space="preserve"> To investigate whether early-life infection burden associated with later risk of infection and systemic antibiotic treatment episodes.</w:t>
      </w:r>
    </w:p>
    <w:p w14:paraId="5AE08551" w14:textId="77777777" w:rsidR="00596EE3" w:rsidRDefault="00596EE3" w:rsidP="00596EE3">
      <w:pPr>
        <w:rPr>
          <w:b/>
        </w:rPr>
      </w:pPr>
      <w:r>
        <w:rPr>
          <w:b/>
        </w:rPr>
        <w:t xml:space="preserve">Design, setting and participants: </w:t>
      </w:r>
      <w:r>
        <w:rPr>
          <w:bCs/>
        </w:rPr>
        <w:t xml:space="preserve">A longitudinal cohort study of </w:t>
      </w:r>
      <w:r w:rsidRPr="00A21F46">
        <w:rPr>
          <w:bCs/>
        </w:rPr>
        <w:t xml:space="preserve">700 </w:t>
      </w:r>
      <w:r>
        <w:rPr>
          <w:bCs/>
        </w:rPr>
        <w:t>children from the Danish population based COPSAC</w:t>
      </w:r>
      <w:r>
        <w:rPr>
          <w:bCs/>
          <w:vertAlign w:val="subscript"/>
        </w:rPr>
        <w:t>2010</w:t>
      </w:r>
      <w:r>
        <w:rPr>
          <w:bCs/>
        </w:rPr>
        <w:t xml:space="preserve"> birth cohort with inclusion between November 2008 to November 2010. </w:t>
      </w:r>
    </w:p>
    <w:p w14:paraId="7267668A" w14:textId="77777777" w:rsidR="00596EE3" w:rsidRPr="006D077A" w:rsidRDefault="00596EE3" w:rsidP="00596EE3">
      <w:pPr>
        <w:rPr>
          <w:bCs/>
        </w:rPr>
      </w:pPr>
      <w:r>
        <w:rPr>
          <w:b/>
        </w:rPr>
        <w:t>Exposures:</w:t>
      </w:r>
      <w:r>
        <w:rPr>
          <w:bCs/>
        </w:rPr>
        <w:t xml:space="preserve"> </w:t>
      </w:r>
      <w:r>
        <w:t>Daily diary registered common infection episodes of cold, acute otitis media, tonsillitis, pneumonia, gastroenteritis and fever episodes from birth until age 3 years.</w:t>
      </w:r>
    </w:p>
    <w:p w14:paraId="03D5AE7A" w14:textId="77777777" w:rsidR="00596EE3" w:rsidRPr="006D077A" w:rsidRDefault="00596EE3" w:rsidP="00596EE3">
      <w:pPr>
        <w:rPr>
          <w:b/>
        </w:rPr>
      </w:pPr>
      <w:r w:rsidRPr="005274C6">
        <w:rPr>
          <w:b/>
        </w:rPr>
        <w:t>Main outcome and measurements</w:t>
      </w:r>
      <w:r>
        <w:rPr>
          <w:b/>
        </w:rPr>
        <w:t xml:space="preserve">: </w:t>
      </w:r>
      <w:r w:rsidRPr="00C50D11">
        <w:rPr>
          <w:bCs/>
        </w:rPr>
        <w:t>After age 3 years, the</w:t>
      </w:r>
      <w:r>
        <w:t xml:space="preserve"> </w:t>
      </w:r>
      <w:r>
        <w:rPr>
          <w:rFonts w:cs="Times New Roman"/>
        </w:rPr>
        <w:t xml:space="preserve">children were </w:t>
      </w:r>
      <w:r>
        <w:t>followed</w:t>
      </w:r>
      <w:r w:rsidRPr="00445C4D">
        <w:t xml:space="preserve"> </w:t>
      </w:r>
      <w:r>
        <w:t>with longitudinal monitoring of moderate-severe infection diagnoses and systemic antibiotic prescriptions from national databases</w:t>
      </w:r>
      <w:r w:rsidRPr="006B2E54">
        <w:rPr>
          <w:rFonts w:cs="Times New Roman"/>
        </w:rPr>
        <w:t xml:space="preserve"> </w:t>
      </w:r>
      <w:r>
        <w:t>until February 1, 2024, where they had completed the age 10- or 13-year visit. Incidence rate ratios (IRRs) were calculated from Quasi-Poisson regressions. Children with immune deficiencies or congenital diseases were excluded. All analyses were adjusted for social and environmental confounders.</w:t>
      </w:r>
    </w:p>
    <w:p w14:paraId="379338D7" w14:textId="77777777" w:rsidR="00596EE3" w:rsidRPr="006D077A" w:rsidRDefault="00596EE3" w:rsidP="00596EE3">
      <w:pPr>
        <w:rPr>
          <w:b/>
        </w:rPr>
      </w:pPr>
      <w:r>
        <w:rPr>
          <w:b/>
        </w:rPr>
        <w:t xml:space="preserve">Results: </w:t>
      </w:r>
      <w:r>
        <w:t>A total of 614 children with diary data age 0-3 years had complete follow-up until age 10-13 years and t</w:t>
      </w:r>
      <w:r>
        <w:rPr>
          <w:rFonts w:cs="Times New Roman"/>
        </w:rPr>
        <w:t>here were no differences in baseline characteristics between the children having vs not having available diary data</w:t>
      </w:r>
      <w:r>
        <w:t xml:space="preserve">. </w:t>
      </w:r>
      <w:r>
        <w:rPr>
          <w:rFonts w:cs="Times New Roman"/>
        </w:rPr>
        <w:t xml:space="preserve">Children with high vs low burden of diary-registered infections age 0-3 years, i.e., above vs. below the median of 16 had increased risks of later moderate-severe infections (181 vs 87 episodes), </w:t>
      </w:r>
      <w:r>
        <w:t xml:space="preserve">adjusted IRR (95% CI): </w:t>
      </w:r>
      <w:r>
        <w:rPr>
          <w:rFonts w:cs="Times New Roman"/>
        </w:rPr>
        <w:t>2.39 (1.52-3.89), p&lt;0.001 and systemic antibiotic episodes (799 vs 623 episodes): 1.34 (1.07-1.68), p=0.01 until age 10-13 years. E</w:t>
      </w:r>
      <w:r>
        <w:t xml:space="preserve">ach </w:t>
      </w:r>
      <w:r>
        <w:lastRenderedPageBreak/>
        <w:t xml:space="preserve">diary infection episode also increased later risk of moderate-severe infections: </w:t>
      </w:r>
      <w:r>
        <w:rPr>
          <w:rFonts w:cs="Times New Roman"/>
        </w:rPr>
        <w:t xml:space="preserve">1.05 (1.02-1.08) p&lt;0.001 and systemic antibiotic episodes; 1.02 (1.01-1.04) p&lt;0.001. Subtype analyses demonstrated significant associations between each cold, acute otitis media, pneumonia, gastroenteritis and fever episode age 0-3 years and risk of later moderate-severe infections or systemic antibiotic episodes. </w:t>
      </w:r>
    </w:p>
    <w:p w14:paraId="25F864A0" w14:textId="77777777" w:rsidR="00596EE3" w:rsidRDefault="00596EE3" w:rsidP="00596EE3">
      <w:pPr>
        <w:rPr>
          <w:bCs/>
        </w:rPr>
      </w:pPr>
      <w:r>
        <w:rPr>
          <w:b/>
        </w:rPr>
        <w:t xml:space="preserve">Conclusions and relevance: </w:t>
      </w:r>
      <w:r>
        <w:t xml:space="preserve">This longitudinal cohort study from birth until age 10-13 years suggests that early life infection burden continues throughout childhood and associates with later antibiotic treatments </w:t>
      </w:r>
      <w:r>
        <w:rPr>
          <w:bCs/>
        </w:rPr>
        <w:t>independent of social and environmental risk factors. These findings are important for prognosis and follow-up of children experiencing a high burden of common infections in early life.</w:t>
      </w:r>
    </w:p>
    <w:p w14:paraId="186ABBBB" w14:textId="77777777" w:rsidR="00596EE3" w:rsidRDefault="00596EE3"/>
    <w:sectPr w:rsidR="00596E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78D1"/>
    <w:multiLevelType w:val="hybridMultilevel"/>
    <w:tmpl w:val="2FCAE2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E3"/>
    <w:rsid w:val="003C2AB3"/>
    <w:rsid w:val="00596EE3"/>
    <w:rsid w:val="006B04ED"/>
    <w:rsid w:val="006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6CD4"/>
  <w15:chartTrackingRefBased/>
  <w15:docId w15:val="{91B25D45-E368-814E-9BC8-B8FC92A1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6EE3"/>
    <w:pPr>
      <w:spacing w:before="120" w:after="120" w:line="480" w:lineRule="auto"/>
    </w:pPr>
    <w:rPr>
      <w:rFonts w:ascii="Times New Roman" w:eastAsia="Arial" w:hAnsi="Times New Roman" w:cs="Arial"/>
      <w:kern w:val="0"/>
      <w:szCs w:val="22"/>
      <w:lang w:val="e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6E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6E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6E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6E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6E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6E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6E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6E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96E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6E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6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Brustad</dc:creator>
  <cp:keywords/>
  <dc:description/>
  <cp:lastModifiedBy>Elisabeth Christiansen</cp:lastModifiedBy>
  <cp:revision>2</cp:revision>
  <dcterms:created xsi:type="dcterms:W3CDTF">2025-01-03T08:35:00Z</dcterms:created>
  <dcterms:modified xsi:type="dcterms:W3CDTF">2025-01-03T08:35:00Z</dcterms:modified>
</cp:coreProperties>
</file>